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both"/>
        <w:rPr>
          <w:color w:val="000000"/>
        </w:rPr>
      </w:pPr>
      <w:r>
        <w:rPr>
          <w:color w:val="000000"/>
        </w:rPr>
        <w:t>Chaque partie au marché est tenue au respect des règles relatives à la protection des données à caractère personnel, auxquelles elle a accès pour les besoins de l'exécution du marché conformément au règlement général sur la protection des données (règlement (UE) 2016/679 du Parlement européen et du Conseil du 27 avril 2016).</w:t>
      </w:r>
    </w:p>
    <w:p>
      <w:pPr>
        <w:jc w:val="both"/>
        <w:rPr>
          <w:color w:val="000000"/>
        </w:rPr>
      </w:pPr>
    </w:p>
    <w:p>
      <w:pPr>
        <w:pStyle w:val="Titre1"/>
      </w:pPr>
      <w:r>
        <w:t>Description du traitement</w:t>
      </w:r>
    </w:p>
    <w:p>
      <w:pPr>
        <w:jc w:val="both"/>
        <w:rPr>
          <w:color w:val="000000"/>
        </w:rPr>
      </w:pPr>
      <w:r>
        <w:rPr>
          <w:color w:val="000000"/>
        </w:rPr>
        <w:t xml:space="preserve">Les détails des opérations de traitement, et notamment les finalités du traitement pour lesquelles les données à caractère personnel sont traitées pour le compte </w:t>
      </w:r>
      <w:r>
        <w:rPr>
          <w:color w:val="000000"/>
          <w:highlight w:val="yellow"/>
        </w:rPr>
        <w:t>du GHT</w:t>
      </w:r>
      <w:r>
        <w:rPr>
          <w:color w:val="000000"/>
        </w:rPr>
        <w:t xml:space="preserve">, en qualité de responsable de traitement, sont précisés </w:t>
      </w:r>
      <w:r>
        <w:rPr>
          <w:color w:val="000000"/>
          <w:highlight w:val="yellow"/>
        </w:rPr>
        <w:t>à l’article 4 du CCAP</w:t>
      </w:r>
      <w:r>
        <w:rPr>
          <w:color w:val="000000"/>
        </w:rPr>
        <w:t xml:space="preserve">. </w:t>
      </w:r>
    </w:p>
    <w:p>
      <w:pPr>
        <w:jc w:val="both"/>
        <w:rPr>
          <w:color w:val="000000"/>
        </w:rPr>
      </w:pPr>
    </w:p>
    <w:p>
      <w:pPr>
        <w:jc w:val="both"/>
        <w:rPr>
          <w:color w:val="000000"/>
        </w:rPr>
      </w:pPr>
      <w:r>
        <w:rPr>
          <w:color w:val="000000"/>
        </w:rPr>
        <w:t xml:space="preserve">Le Prestataire, en qualité de sous-traitant, aura accès aux catégories de données à caractère personnel suivantes : </w:t>
      </w:r>
      <w:r>
        <w:rPr>
          <w:color w:val="000000"/>
          <w:highlight w:val="yellow"/>
        </w:rPr>
        <w:t>XXX</w:t>
      </w:r>
      <w:r>
        <w:rPr>
          <w:color w:val="000000"/>
          <w:highlight w:val="yellow"/>
        </w:rPr>
        <w:t>.</w:t>
      </w:r>
    </w:p>
    <w:p>
      <w:pPr>
        <w:jc w:val="both"/>
        <w:rPr>
          <w:color w:val="000000"/>
        </w:rPr>
      </w:pPr>
    </w:p>
    <w:p>
      <w:pPr>
        <w:jc w:val="both"/>
        <w:rPr>
          <w:color w:val="000000"/>
        </w:rPr>
      </w:pPr>
      <w:r>
        <w:rPr>
          <w:color w:val="000000"/>
        </w:rPr>
        <w:t xml:space="preserve">Les personnes concernées par les traitements </w:t>
      </w:r>
      <w:r>
        <w:rPr>
          <w:color w:val="000000"/>
          <w:highlight w:val="yellow"/>
        </w:rPr>
        <w:t>XXX</w:t>
      </w:r>
      <w:r>
        <w:rPr>
          <w:color w:val="000000"/>
        </w:rPr>
        <w:t>.</w:t>
      </w:r>
    </w:p>
    <w:p>
      <w:pPr>
        <w:jc w:val="both"/>
        <w:rPr>
          <w:color w:val="000000"/>
        </w:rPr>
      </w:pPr>
    </w:p>
    <w:p>
      <w:pPr>
        <w:pStyle w:val="Titre1"/>
      </w:pPr>
      <w:r>
        <w:t xml:space="preserve">Obligations des parties </w:t>
      </w:r>
    </w:p>
    <w:p>
      <w:pPr>
        <w:pStyle w:val="Titre2"/>
      </w:pPr>
      <w:r>
        <w:t>Instructions</w:t>
      </w:r>
    </w:p>
    <w:p>
      <w:pPr>
        <w:jc w:val="both"/>
        <w:rPr>
          <w:color w:val="000000"/>
        </w:rPr>
      </w:pPr>
      <w:r>
        <w:rPr>
          <w:color w:val="000000"/>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pPr>
        <w:jc w:val="both"/>
        <w:rPr>
          <w:color w:val="000000"/>
        </w:rPr>
      </w:pPr>
    </w:p>
    <w:p>
      <w:pPr>
        <w:jc w:val="both"/>
        <w:rPr>
          <w:color w:val="000000"/>
        </w:rPr>
      </w:pPr>
      <w:r>
        <w:rPr>
          <w:color w:val="000000"/>
        </w:rPr>
        <w:t>Le sous-traitant informe immédiatement le responsable du traitement si, selon lui, une instruction donnée par le responsable du traitement constitue une violation du règlement (UE) 2016/679 / du règlement (UE) 2018/1725 ou d'autres dispositions du droit de l'Union ou du droit des États membres relatives à la protection des données.</w:t>
      </w:r>
    </w:p>
    <w:p>
      <w:pPr>
        <w:jc w:val="both"/>
        <w:rPr>
          <w:color w:val="000000"/>
        </w:rPr>
      </w:pPr>
    </w:p>
    <w:p>
      <w:pPr>
        <w:pStyle w:val="Titre2"/>
      </w:pPr>
      <w:r>
        <w:t>Limitation de la finalité</w:t>
      </w:r>
    </w:p>
    <w:p>
      <w:pPr>
        <w:jc w:val="both"/>
        <w:rPr>
          <w:color w:val="000000"/>
        </w:rPr>
      </w:pPr>
      <w:r>
        <w:rPr>
          <w:color w:val="000000"/>
        </w:rPr>
        <w:t xml:space="preserve">Le sous-traitant traite les données à caractère personnel uniquement pour la ou les finalités spécifiques du traitement, telles que définies </w:t>
      </w:r>
      <w:r>
        <w:rPr>
          <w:color w:val="000000"/>
          <w:highlight w:val="yellow"/>
        </w:rPr>
        <w:t>XXXX</w:t>
      </w:r>
      <w:r>
        <w:rPr>
          <w:color w:val="000000"/>
        </w:rPr>
        <w:t>, sauf instruction complémentaire du responsable du traitement.</w:t>
      </w:r>
    </w:p>
    <w:p>
      <w:pPr>
        <w:jc w:val="both"/>
        <w:rPr>
          <w:color w:val="000000"/>
        </w:rPr>
      </w:pPr>
    </w:p>
    <w:p>
      <w:pPr>
        <w:pStyle w:val="Titre2"/>
      </w:pPr>
      <w:r>
        <w:t>Durée du traitement des données à caractère personnel</w:t>
      </w:r>
    </w:p>
    <w:p>
      <w:pPr>
        <w:jc w:val="both"/>
        <w:rPr>
          <w:color w:val="000000"/>
        </w:rPr>
      </w:pPr>
      <w:r>
        <w:rPr>
          <w:color w:val="000000"/>
        </w:rPr>
        <w:t xml:space="preserve">Le traitement par le sous-traitant n’a lieu que pendant la durée précisée </w:t>
      </w:r>
      <w:r>
        <w:rPr>
          <w:color w:val="000000"/>
          <w:highlight w:val="yellow"/>
        </w:rPr>
        <w:t>XX.</w:t>
      </w:r>
    </w:p>
    <w:p>
      <w:pPr>
        <w:jc w:val="both"/>
        <w:rPr>
          <w:color w:val="000000"/>
        </w:rPr>
      </w:pPr>
    </w:p>
    <w:p>
      <w:pPr>
        <w:pStyle w:val="Titre2"/>
      </w:pPr>
      <w:r>
        <w:t>Sécurité du traitement</w:t>
      </w:r>
    </w:p>
    <w:p>
      <w:pPr>
        <w:jc w:val="both"/>
        <w:rPr>
          <w:color w:val="000000"/>
        </w:rPr>
      </w:pPr>
      <w:r>
        <w:rPr>
          <w:color w:val="000000"/>
        </w:rPr>
        <w:t>Le sous-traitant met au moins en œuvre toutes les mesures techniques et organisationnelles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w:t>
      </w:r>
    </w:p>
    <w:p>
      <w:pPr>
        <w:jc w:val="both"/>
        <w:rPr>
          <w:color w:val="000000"/>
        </w:rPr>
      </w:pPr>
    </w:p>
    <w:p>
      <w:pPr>
        <w:jc w:val="both"/>
        <w:rPr>
          <w:color w:val="000000"/>
        </w:rPr>
      </w:pPr>
      <w:r>
        <w:rPr>
          <w:color w:val="000000"/>
        </w:rPr>
        <w:lastRenderedPageBreak/>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pPr>
        <w:jc w:val="both"/>
        <w:rPr>
          <w:color w:val="000000"/>
        </w:rPr>
      </w:pPr>
    </w:p>
    <w:p>
      <w:pPr>
        <w:pStyle w:val="Titre2"/>
      </w:pPr>
      <w:r>
        <w:t>Données sensibles</w:t>
      </w:r>
    </w:p>
    <w:p>
      <w:pPr>
        <w:jc w:val="both"/>
        <w:rPr>
          <w:color w:val="000000"/>
        </w:rPr>
      </w:pPr>
      <w:r>
        <w:rPr>
          <w:color w:val="000000"/>
        </w:rPr>
        <w:t>Dans la mesure où le traitement porte sur des données à caractère personnel hautement personnel ou à caractère sensible, le sous-traitant applique des limitations spécifiques et/ou des garanties supplémentaires.</w:t>
      </w:r>
    </w:p>
    <w:p>
      <w:pPr>
        <w:jc w:val="both"/>
        <w:rPr>
          <w:color w:val="000000"/>
        </w:rPr>
      </w:pPr>
    </w:p>
    <w:p>
      <w:pPr>
        <w:pStyle w:val="Titre2"/>
      </w:pPr>
      <w:r>
        <w:t>Documentation et conformité</w:t>
      </w:r>
    </w:p>
    <w:p>
      <w:pPr>
        <w:jc w:val="both"/>
        <w:rPr>
          <w:color w:val="000000"/>
        </w:rPr>
      </w:pPr>
      <w:r>
        <w:rPr>
          <w:color w:val="000000"/>
        </w:rPr>
        <w:t>Les parties doivent pouvoir démontrer la conformité avec les présentes clauses.</w:t>
      </w:r>
    </w:p>
    <w:p>
      <w:pPr>
        <w:jc w:val="both"/>
        <w:rPr>
          <w:color w:val="000000"/>
        </w:rPr>
      </w:pPr>
    </w:p>
    <w:p>
      <w:pPr>
        <w:jc w:val="both"/>
        <w:rPr>
          <w:color w:val="000000"/>
        </w:rPr>
      </w:pPr>
      <w:r>
        <w:rPr>
          <w:color w:val="000000"/>
        </w:rPr>
        <w:t>Le sous-traitant traite de manière rapide et adéquate les demandes du responsable du traitement concernant le traitement des données conformément aux présentes clauses.</w:t>
      </w:r>
    </w:p>
    <w:p>
      <w:pPr>
        <w:jc w:val="both"/>
        <w:rPr>
          <w:color w:val="000000"/>
        </w:rPr>
      </w:pPr>
    </w:p>
    <w:p>
      <w:pPr>
        <w:jc w:val="both"/>
        <w:rPr>
          <w:color w:val="000000"/>
        </w:rPr>
      </w:pPr>
      <w:r>
        <w:rPr>
          <w:color w:val="00000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pPr>
        <w:jc w:val="both"/>
        <w:rPr>
          <w:color w:val="000000"/>
        </w:rPr>
      </w:pPr>
    </w:p>
    <w:p>
      <w:pPr>
        <w:jc w:val="both"/>
        <w:rPr>
          <w:color w:val="000000"/>
        </w:rPr>
      </w:pPr>
      <w:r>
        <w:rPr>
          <w:color w:val="000000"/>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pPr>
        <w:jc w:val="both"/>
        <w:rPr>
          <w:color w:val="000000"/>
        </w:rPr>
      </w:pPr>
    </w:p>
    <w:p>
      <w:pPr>
        <w:jc w:val="both"/>
        <w:rPr>
          <w:color w:val="000000"/>
        </w:rPr>
      </w:pPr>
      <w:r>
        <w:rPr>
          <w:color w:val="000000"/>
        </w:rPr>
        <w:t>Les parties mettent à la disposition de l’autorité de contrôle compétente/des autorités de contrôle compétentes, dès que celles-ci en font la demande, les informations énoncées dans la présente clause, y compris les résultats de tout audit.</w:t>
      </w:r>
    </w:p>
    <w:p>
      <w:pPr>
        <w:jc w:val="both"/>
        <w:rPr>
          <w:color w:val="000000"/>
        </w:rPr>
      </w:pPr>
    </w:p>
    <w:p>
      <w:pPr>
        <w:pStyle w:val="Titre2"/>
      </w:pPr>
      <w:r>
        <w:t>Recours à des sous-traitants ultérieurs</w:t>
      </w:r>
    </w:p>
    <w:p>
      <w:pPr>
        <w:jc w:val="both"/>
        <w:rPr>
          <w:color w:val="000000"/>
        </w:rPr>
      </w:pPr>
      <w:r>
        <w:rPr>
          <w:color w:val="000000"/>
        </w:rPr>
        <w:t>Le sous-traitant dispose de l’autorisation générale du responsable du traitement pour ce qui est du recrutement de sous-traitants ultérieurs sur la base d’une liste convenue. Le sous-traitant informe spécifiquement par écrit le responsable du traitement de tout projet de modification de cette liste par l’ajout ou le remplacement de sous-traitants ultérieurs au moins un mois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pPr>
        <w:jc w:val="both"/>
        <w:rPr>
          <w:color w:val="000000"/>
        </w:rPr>
      </w:pPr>
    </w:p>
    <w:p>
      <w:pPr>
        <w:jc w:val="both"/>
        <w:rPr>
          <w:color w:val="000000"/>
        </w:rPr>
      </w:pPr>
      <w:r>
        <w:rPr>
          <w:color w:val="000000"/>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pPr>
        <w:jc w:val="both"/>
        <w:rPr>
          <w:color w:val="000000"/>
        </w:rPr>
      </w:pPr>
    </w:p>
    <w:p>
      <w:pPr>
        <w:jc w:val="both"/>
        <w:rPr>
          <w:color w:val="000000"/>
        </w:rPr>
      </w:pPr>
      <w:r>
        <w:rPr>
          <w:color w:val="000000"/>
        </w:rPr>
        <w:lastRenderedPageBreak/>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pPr>
        <w:jc w:val="both"/>
        <w:rPr>
          <w:color w:val="000000"/>
        </w:rPr>
      </w:pPr>
    </w:p>
    <w:p>
      <w:pPr>
        <w:jc w:val="both"/>
        <w:rPr>
          <w:color w:val="000000"/>
        </w:rPr>
      </w:pPr>
      <w:r>
        <w:rPr>
          <w:color w:val="000000"/>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pPr>
        <w:jc w:val="both"/>
        <w:rPr>
          <w:color w:val="000000"/>
        </w:rPr>
      </w:pPr>
    </w:p>
    <w:p>
      <w:pPr>
        <w:jc w:val="both"/>
        <w:rPr>
          <w:color w:val="000000"/>
        </w:rPr>
      </w:pPr>
      <w:r>
        <w:rPr>
          <w:color w:val="000000"/>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pPr>
        <w:jc w:val="both"/>
        <w:rPr>
          <w:color w:val="000000"/>
        </w:rPr>
      </w:pPr>
    </w:p>
    <w:p>
      <w:pPr>
        <w:pStyle w:val="Titre2"/>
      </w:pPr>
      <w:r>
        <w:t>Transferts internationaux</w:t>
      </w:r>
    </w:p>
    <w:p>
      <w:pPr>
        <w:jc w:val="both"/>
        <w:rPr>
          <w:color w:val="000000"/>
        </w:rPr>
      </w:pPr>
      <w:r>
        <w:rPr>
          <w:color w:val="000000"/>
        </w:rPr>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du règlement (UE) 2018/1725.</w:t>
      </w:r>
    </w:p>
    <w:p>
      <w:pPr>
        <w:jc w:val="both"/>
        <w:rPr>
          <w:color w:val="000000"/>
        </w:rPr>
      </w:pPr>
    </w:p>
    <w:p>
      <w:pPr>
        <w:jc w:val="both"/>
        <w:rPr>
          <w:color w:val="000000"/>
        </w:rPr>
      </w:pPr>
      <w:r>
        <w:rPr>
          <w:color w:val="000000"/>
        </w:rPr>
        <w:t>Le responsable du traitement convient que lorsque le sous-traitant recrute un sous-traitant ultérieur conformément à la clause 2.7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w:t>
      </w:r>
    </w:p>
    <w:p>
      <w:pPr>
        <w:jc w:val="both"/>
        <w:rPr>
          <w:color w:val="000000"/>
        </w:rPr>
      </w:pPr>
    </w:p>
    <w:p>
      <w:pPr>
        <w:pStyle w:val="Titre1"/>
      </w:pPr>
      <w:r>
        <w:t>Assistance au responsable du traitement</w:t>
      </w:r>
    </w:p>
    <w:p>
      <w:pPr>
        <w:jc w:val="both"/>
        <w:rPr>
          <w:color w:val="000000"/>
        </w:rPr>
      </w:pPr>
      <w:r>
        <w:rPr>
          <w:color w:val="000000"/>
        </w:rPr>
        <w:t>Le sous-traitant informe sans délai le responsable du traitement de toute demande qu’il a reçue de la part de la personne concernée. Il ne donne pas lui-même suite à cette demande, à moins que le responsable du traitement des données ne l’y ait autorisé.</w:t>
      </w:r>
    </w:p>
    <w:p>
      <w:pPr>
        <w:jc w:val="both"/>
        <w:rPr>
          <w:color w:val="000000"/>
        </w:rPr>
      </w:pPr>
    </w:p>
    <w:p>
      <w:pPr>
        <w:jc w:val="both"/>
        <w:rPr>
          <w:color w:val="000000"/>
        </w:rPr>
      </w:pPr>
      <w:r>
        <w:rPr>
          <w:color w:val="000000"/>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le sous-traitant se conforme aux instructions du responsable du traitement.</w:t>
      </w:r>
    </w:p>
    <w:p>
      <w:pPr>
        <w:jc w:val="both"/>
        <w:rPr>
          <w:color w:val="000000"/>
        </w:rPr>
      </w:pPr>
    </w:p>
    <w:p>
      <w:pPr>
        <w:jc w:val="both"/>
        <w:rPr>
          <w:color w:val="000000"/>
        </w:rPr>
      </w:pPr>
      <w:r>
        <w:rPr>
          <w:color w:val="000000"/>
        </w:rPr>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pPr>
        <w:pStyle w:val="Paragraphedeliste"/>
        <w:numPr>
          <w:ilvl w:val="0"/>
          <w:numId w:val="7"/>
        </w:numPr>
        <w:jc w:val="both"/>
        <w:rPr>
          <w:color w:val="000000"/>
        </w:rPr>
      </w:pPr>
      <w:r>
        <w:rPr>
          <w:color w:val="000000"/>
        </w:rPr>
        <w:t>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w:t>
      </w:r>
    </w:p>
    <w:p>
      <w:pPr>
        <w:pStyle w:val="Paragraphedeliste"/>
        <w:numPr>
          <w:ilvl w:val="0"/>
          <w:numId w:val="7"/>
        </w:numPr>
        <w:jc w:val="both"/>
        <w:rPr>
          <w:color w:val="000000"/>
        </w:rPr>
      </w:pPr>
      <w:r>
        <w:rPr>
          <w:color w:val="000000"/>
        </w:rPr>
        <w:lastRenderedPageBreak/>
        <w:t>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 ;</w:t>
      </w:r>
    </w:p>
    <w:p>
      <w:pPr>
        <w:pStyle w:val="Paragraphedeliste"/>
        <w:numPr>
          <w:ilvl w:val="0"/>
          <w:numId w:val="7"/>
        </w:numPr>
        <w:jc w:val="both"/>
        <w:rPr>
          <w:color w:val="000000"/>
        </w:rPr>
      </w:pPr>
      <w:r>
        <w:rPr>
          <w:color w:val="000000"/>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 ;</w:t>
      </w:r>
    </w:p>
    <w:p>
      <w:pPr>
        <w:pStyle w:val="Paragraphedeliste"/>
        <w:numPr>
          <w:ilvl w:val="0"/>
          <w:numId w:val="7"/>
        </w:numPr>
        <w:jc w:val="both"/>
        <w:rPr>
          <w:color w:val="000000"/>
        </w:rPr>
      </w:pPr>
      <w:r>
        <w:rPr>
          <w:color w:val="000000"/>
        </w:rPr>
        <w:t>Les obligations prévues à l’article 32 du règlement (UE) 2016/679.</w:t>
      </w:r>
    </w:p>
    <w:p>
      <w:pPr>
        <w:jc w:val="both"/>
        <w:rPr>
          <w:color w:val="000000"/>
        </w:rPr>
      </w:pPr>
    </w:p>
    <w:p>
      <w:pPr>
        <w:jc w:val="both"/>
        <w:rPr>
          <w:color w:val="000000"/>
        </w:rPr>
      </w:pPr>
      <w:r>
        <w:rPr>
          <w:color w:val="000000"/>
        </w:rPr>
        <w:t>Les parties définissent les mesures techniques et organisationnelles appropriées par lesquelles le sous-traitant est tenu de prêter assistance au responsable du traitement dans l’application de la présente clause, ainsi que la portée et l’étendue de l’assistance requise.</w:t>
      </w:r>
    </w:p>
    <w:p>
      <w:pPr>
        <w:jc w:val="both"/>
        <w:rPr>
          <w:color w:val="000000"/>
        </w:rPr>
      </w:pPr>
    </w:p>
    <w:p>
      <w:pPr>
        <w:pStyle w:val="Titre1"/>
      </w:pPr>
      <w:r>
        <w:t>Notification de violations de données à caractère personnel</w:t>
      </w:r>
    </w:p>
    <w:p>
      <w:pPr>
        <w:jc w:val="both"/>
        <w:rPr>
          <w:color w:val="000000"/>
        </w:rPr>
      </w:pPr>
    </w:p>
    <w:p>
      <w:pPr>
        <w:jc w:val="both"/>
        <w:rPr>
          <w:color w:val="000000"/>
        </w:rPr>
      </w:pPr>
      <w:r>
        <w:rPr>
          <w:color w:val="000000"/>
        </w:rPr>
        <w:t>En cas de violation de données à caractère personnel, le sous-traitant coopère avec le responsable du traitement et lui prête assistance aux fins de la mise en conformité avec les obligations qui lui incombent en vertu des articles 33 et 34 du règlement (UE) 2016/679, en tenant compte de la nature du traitement et des informations dont dispose le sous-traitant.</w:t>
      </w:r>
    </w:p>
    <w:p>
      <w:pPr>
        <w:jc w:val="both"/>
        <w:rPr>
          <w:color w:val="000000"/>
        </w:rPr>
      </w:pPr>
    </w:p>
    <w:p>
      <w:pPr>
        <w:pStyle w:val="Titre2"/>
      </w:pPr>
      <w:r>
        <w:t>Violation de données en rapport avec des données traitées par le responsable du traitement</w:t>
      </w:r>
    </w:p>
    <w:p>
      <w:pPr>
        <w:jc w:val="both"/>
        <w:rPr>
          <w:color w:val="000000"/>
        </w:rPr>
      </w:pPr>
    </w:p>
    <w:p>
      <w:pPr>
        <w:jc w:val="both"/>
        <w:rPr>
          <w:color w:val="000000"/>
        </w:rPr>
      </w:pPr>
      <w:r>
        <w:rPr>
          <w:color w:val="000000"/>
        </w:rPr>
        <w:t>En cas de violation de données à caractère personnel en rapport avec des données traitées par le responsable du traitement, le sous-traitant prête assistance au responsable du traitement :</w:t>
      </w:r>
    </w:p>
    <w:p>
      <w:pPr>
        <w:pStyle w:val="Paragraphedeliste"/>
        <w:numPr>
          <w:ilvl w:val="0"/>
          <w:numId w:val="3"/>
        </w:numPr>
        <w:jc w:val="both"/>
        <w:rPr>
          <w:color w:val="000000"/>
        </w:rPr>
      </w:pPr>
      <w:r>
        <w:rPr>
          <w:color w:val="000000"/>
        </w:rPr>
        <w:t>Aux fins de la notification de la violation de données à caractère personnel à l’autorité de contrôle compétente/aux autorités de contrôle compétentes, dans les meilleurs délais après que le responsable du traitement en a eu connaissance, le cas échéant (sauf si la violation de données à caractère personnel est peu susceptible d'engendrer un risque pour les droits et libertés des personnes physiques) ;</w:t>
      </w:r>
    </w:p>
    <w:p>
      <w:pPr>
        <w:pStyle w:val="Paragraphedeliste"/>
        <w:numPr>
          <w:ilvl w:val="0"/>
          <w:numId w:val="3"/>
        </w:numPr>
        <w:jc w:val="both"/>
        <w:rPr>
          <w:color w:val="000000"/>
        </w:rPr>
      </w:pPr>
      <w:r>
        <w:rPr>
          <w:color w:val="000000"/>
        </w:rPr>
        <w:t>Aux fins de l’obtention des informations qui, conformément à l’article 33, paragraphe 3, du règlement (UE) 2016/679, doivent figurer dans la notification du responsable du traitement.</w:t>
      </w:r>
    </w:p>
    <w:p>
      <w:pPr>
        <w:jc w:val="both"/>
        <w:rPr>
          <w:color w:val="000000"/>
        </w:rPr>
      </w:pPr>
    </w:p>
    <w:p>
      <w:pPr>
        <w:jc w:val="both"/>
        <w:rPr>
          <w:color w:val="000000"/>
        </w:rPr>
      </w:pPr>
      <w:r>
        <w:rPr>
          <w:color w:val="00000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pPr>
        <w:jc w:val="both"/>
        <w:rPr>
          <w:color w:val="000000"/>
        </w:rPr>
      </w:pPr>
    </w:p>
    <w:p>
      <w:pPr>
        <w:jc w:val="both"/>
        <w:rPr>
          <w:color w:val="000000"/>
        </w:rPr>
      </w:pPr>
      <w:r>
        <w:rPr>
          <w:color w:val="000000"/>
        </w:rPr>
        <w:t>aux fins de la satisfaction, conformément à l’article 34 du règlement (UE) 2016/679,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pPr>
        <w:jc w:val="both"/>
        <w:rPr>
          <w:color w:val="000000"/>
        </w:rPr>
      </w:pPr>
    </w:p>
    <w:p>
      <w:pPr>
        <w:pStyle w:val="Titre2"/>
      </w:pPr>
      <w:r>
        <w:t>Violation de données en rapport avec des données traitées par le sous-traitant</w:t>
      </w:r>
    </w:p>
    <w:p>
      <w:pPr>
        <w:jc w:val="both"/>
        <w:rPr>
          <w:color w:val="000000"/>
        </w:rPr>
      </w:pPr>
      <w:r>
        <w:rPr>
          <w:color w:val="000000"/>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pPr>
        <w:pStyle w:val="Paragraphedeliste"/>
        <w:numPr>
          <w:ilvl w:val="0"/>
          <w:numId w:val="8"/>
        </w:numPr>
        <w:jc w:val="both"/>
        <w:rPr>
          <w:color w:val="000000"/>
        </w:rPr>
      </w:pPr>
      <w:r>
        <w:rPr>
          <w:color w:val="000000"/>
        </w:rPr>
        <w:lastRenderedPageBreak/>
        <w:t>une description de la nature de la violation constatée (y compris, si possible, les catégories et le nombre approximatif de personnes concernées par la violation et d'enregistrements de données à caractère personnel concernés);</w:t>
      </w:r>
    </w:p>
    <w:p>
      <w:pPr>
        <w:pStyle w:val="Paragraphedeliste"/>
        <w:numPr>
          <w:ilvl w:val="0"/>
          <w:numId w:val="8"/>
        </w:numPr>
        <w:jc w:val="both"/>
        <w:rPr>
          <w:color w:val="000000"/>
        </w:rPr>
      </w:pPr>
      <w:r>
        <w:rPr>
          <w:color w:val="000000"/>
        </w:rPr>
        <w:t>les coordonnées d’un point de contact auprès duquel des informations supplémentaires peuvent être obtenues au sujet de la violation de données à caractère personnel;</w:t>
      </w:r>
    </w:p>
    <w:p>
      <w:pPr>
        <w:pStyle w:val="Paragraphedeliste"/>
        <w:numPr>
          <w:ilvl w:val="0"/>
          <w:numId w:val="8"/>
        </w:numPr>
        <w:jc w:val="both"/>
        <w:rPr>
          <w:color w:val="000000"/>
        </w:rPr>
      </w:pPr>
      <w:r>
        <w:rPr>
          <w:color w:val="000000"/>
        </w:rPr>
        <w:t>ses conséquences probables et les mesures prises ou les mesures qu’il est proposé de prendre pour remédier à la violation, y compris pour en atténuer les éventuelles conséquences négatives.</w:t>
      </w:r>
    </w:p>
    <w:p>
      <w:pPr>
        <w:jc w:val="both"/>
        <w:rPr>
          <w:color w:val="000000"/>
        </w:rPr>
      </w:pPr>
    </w:p>
    <w:p>
      <w:pPr>
        <w:jc w:val="both"/>
        <w:rPr>
          <w:color w:val="000000"/>
        </w:rPr>
      </w:pPr>
      <w:r>
        <w:rPr>
          <w:color w:val="00000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jc w:val="both"/>
        <w:rPr>
          <w:color w:val="000000"/>
        </w:rPr>
      </w:pPr>
    </w:p>
    <w:p>
      <w:pPr>
        <w:pStyle w:val="Titre1"/>
      </w:pPr>
      <w:r>
        <w:t>Non-respect des clauses et résiliation</w:t>
      </w:r>
    </w:p>
    <w:p>
      <w:pPr>
        <w:jc w:val="both"/>
        <w:rPr>
          <w:color w:val="000000"/>
        </w:rPr>
      </w:pPr>
    </w:p>
    <w:p>
      <w:pPr>
        <w:jc w:val="both"/>
        <w:rPr>
          <w:color w:val="000000"/>
        </w:rPr>
      </w:pPr>
      <w:r>
        <w:rPr>
          <w:color w:val="000000"/>
        </w:rPr>
        <w:t>Sans préjudice des dispositions du règlement (UE) 2016/679,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pPr>
        <w:jc w:val="both"/>
        <w:rPr>
          <w:color w:val="000000"/>
        </w:rPr>
      </w:pPr>
    </w:p>
    <w:p>
      <w:pPr>
        <w:jc w:val="both"/>
        <w:rPr>
          <w:color w:val="000000"/>
        </w:rPr>
      </w:pPr>
      <w:r>
        <w:rPr>
          <w:color w:val="000000"/>
        </w:rPr>
        <w:t>Le responsable du traitement est en droit de résilier le contrat dans la mesure où il concerne le traitement de données à caractère personnel conformément aux présentes clauses si :</w:t>
      </w:r>
    </w:p>
    <w:p>
      <w:pPr>
        <w:pStyle w:val="Paragraphedeliste"/>
        <w:numPr>
          <w:ilvl w:val="1"/>
          <w:numId w:val="6"/>
        </w:numPr>
        <w:jc w:val="both"/>
        <w:rPr>
          <w:color w:val="000000"/>
        </w:rPr>
      </w:pPr>
      <w:r>
        <w:rPr>
          <w:color w:val="000000"/>
        </w:rPr>
        <w:t>Le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 ;</w:t>
      </w:r>
    </w:p>
    <w:p>
      <w:pPr>
        <w:pStyle w:val="Paragraphedeliste"/>
        <w:numPr>
          <w:ilvl w:val="1"/>
          <w:numId w:val="6"/>
        </w:numPr>
        <w:jc w:val="both"/>
        <w:rPr>
          <w:color w:val="000000"/>
        </w:rPr>
      </w:pPr>
      <w:r>
        <w:rPr>
          <w:color w:val="000000"/>
        </w:rPr>
        <w:t>Le sous-traitant est en violation grave ou persistante des présentes clauses ou des obligations qui lui incombent en vertu du règlement (UE) 2016/679 ;</w:t>
      </w:r>
    </w:p>
    <w:p>
      <w:pPr>
        <w:pStyle w:val="Paragraphedeliste"/>
        <w:numPr>
          <w:ilvl w:val="1"/>
          <w:numId w:val="6"/>
        </w:numPr>
        <w:jc w:val="both"/>
        <w:rPr>
          <w:color w:val="000000"/>
        </w:rPr>
      </w:pPr>
      <w:r>
        <w:rPr>
          <w:color w:val="000000"/>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w:t>
      </w:r>
    </w:p>
    <w:p>
      <w:pPr>
        <w:jc w:val="both"/>
        <w:rPr>
          <w:color w:val="000000"/>
        </w:rPr>
      </w:pPr>
    </w:p>
    <w:p>
      <w:pPr>
        <w:jc w:val="both"/>
        <w:rPr>
          <w:color w:val="000000"/>
        </w:rPr>
      </w:pPr>
      <w:r>
        <w:rPr>
          <w:color w:val="000000"/>
        </w:rP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le responsable du traitement insiste pour que ses instructions soient suivies.</w:t>
      </w:r>
    </w:p>
    <w:p>
      <w:pPr>
        <w:jc w:val="both"/>
        <w:rPr>
          <w:color w:val="000000"/>
        </w:rPr>
      </w:pPr>
    </w:p>
    <w:p>
      <w:pPr>
        <w:jc w:val="both"/>
        <w:rPr>
          <w:color w:val="000000"/>
        </w:rPr>
      </w:pPr>
      <w:r>
        <w:rPr>
          <w:color w:val="000000"/>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pPr>
        <w:jc w:val="both"/>
      </w:pP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73D17"/>
    <w:multiLevelType w:val="hybridMultilevel"/>
    <w:tmpl w:val="D898C92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A5A3246"/>
    <w:multiLevelType w:val="hybridMultilevel"/>
    <w:tmpl w:val="C700D1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21708F"/>
    <w:multiLevelType w:val="hybridMultilevel"/>
    <w:tmpl w:val="2D92B16E"/>
    <w:lvl w:ilvl="0" w:tplc="040C0017">
      <w:start w:val="1"/>
      <w:numFmt w:val="lowerLetter"/>
      <w:lvlText w:val="%1)"/>
      <w:lvlJc w:val="left"/>
      <w:pPr>
        <w:ind w:left="720" w:hanging="360"/>
      </w:pPr>
    </w:lvl>
    <w:lvl w:ilvl="1" w:tplc="3BBAB31A">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E327C8"/>
    <w:multiLevelType w:val="hybridMultilevel"/>
    <w:tmpl w:val="E140DED8"/>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8EB408F"/>
    <w:multiLevelType w:val="hybridMultilevel"/>
    <w:tmpl w:val="70D8A8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B0C537E"/>
    <w:multiLevelType w:val="hybridMultilevel"/>
    <w:tmpl w:val="1982E3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C5F72FD"/>
    <w:multiLevelType w:val="hybridMultilevel"/>
    <w:tmpl w:val="8F7E80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56118AA"/>
    <w:multiLevelType w:val="hybridMultilevel"/>
    <w:tmpl w:val="DCAADFE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B443FF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6"/>
  </w:num>
  <w:num w:numId="3">
    <w:abstractNumId w:val="2"/>
  </w:num>
  <w:num w:numId="4">
    <w:abstractNumId w:val="5"/>
  </w:num>
  <w:num w:numId="5">
    <w:abstractNumId w:val="7"/>
  </w:num>
  <w:num w:numId="6">
    <w:abstractNumId w:val="3"/>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0485D7-038C-4364-8809-6764BBC9F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hAnsi="Calibri" w:cs="Calibri"/>
    </w:rPr>
  </w:style>
  <w:style w:type="paragraph" w:styleId="Titre1">
    <w:name w:val="heading 1"/>
    <w:basedOn w:val="Normal"/>
    <w:next w:val="Normal"/>
    <w:link w:val="Titre1Car"/>
    <w:uiPriority w:val="9"/>
    <w:qFormat/>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hAnsi="Calibri" w:cs="Calibri"/>
      <w:b/>
      <w:bCs/>
      <w:sz w:val="20"/>
      <w:szCs w:val="20"/>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415891">
      <w:bodyDiv w:val="1"/>
      <w:marLeft w:val="0"/>
      <w:marRight w:val="0"/>
      <w:marTop w:val="0"/>
      <w:marBottom w:val="0"/>
      <w:divBdr>
        <w:top w:val="none" w:sz="0" w:space="0" w:color="auto"/>
        <w:left w:val="none" w:sz="0" w:space="0" w:color="auto"/>
        <w:bottom w:val="none" w:sz="0" w:space="0" w:color="auto"/>
        <w:right w:val="none" w:sz="0" w:space="0" w:color="auto"/>
      </w:divBdr>
    </w:div>
    <w:div w:id="209381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18332-BEE7-42A5-8E9A-4418125E7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2581</Words>
  <Characters>14199</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CHU de Besancon</Company>
  <LinksUpToDate>false</LinksUpToDate>
  <CharactersWithSpaces>16747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 TISSOT (CHUB)</dc:creator>
  <cp:keywords/>
  <dc:description/>
  <cp:lastModifiedBy>Julie SAUQUET</cp:lastModifiedBy>
  <cp:revision>18</cp:revision>
  <dcterms:created xsi:type="dcterms:W3CDTF">2024-04-03T12:12:00Z</dcterms:created>
  <dcterms:modified xsi:type="dcterms:W3CDTF">2025-05-12T12:29:00Z</dcterms:modified>
</cp:coreProperties>
</file>